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 Platform Committee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PRESENTER: Steve Breedlove, Butte County, 530-774-8377, srbreedlove@gmail.com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Water plank rewrite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BACKGROUND AND PURPOSE: This is a very important plank, but the existing version needed a complete reboot. First, it was incoherent from an organizational perspective, jumping between different topics of relevance, and much longer than it needs to be. Second, it was very repetitive and included too much “explainer” text in specific policies, where it even indicated one, rather than under the Justification section. Third, the language presented a voluntary or market approach (e.g. support, Address, Incentive, Subsidy) rather than clearly communicating our demands. Lastly, all major themes have been retained, but organized into a coherent “plan of action” rather than listing ideas without context.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Water</w:t>
        <w:br w:type="textWrapping"/>
        <w:br w:type="textWrapping"/>
        <w:t xml:space="preserve">Proposal: Reorganize to make more coherent while keeping central ideas. Include concrete principles and objectives for watershed management, make the right to water explicit, mandate rather than incentivize. </w:t>
        <w:br w:type="textWrapping"/>
        <w:br w:type="textWrapping"/>
        <w:t xml:space="preserve">KV: GRD, EW, SJEE, CBEEJ</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and land rights established under the Treaty of Guadelupe-Hidalgo and the sovereign claims of Native American bands, tribes, rancherias, reservations, Mission Indians, and non-federally recognized bands and tribes.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00" w:before="100" w:line="276" w:lineRule="auto"/>
        <w:ind w:left="720" w:right="0" w:hanging="360"/>
        <w:contextualSpacing w:val="1"/>
        <w:jc w:val="left"/>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